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Singapore to India document planning checklist</w:t>
      </w:r>
    </w:p>
    <w:p>
      <w:r>
        <w:rPr>
          <w:color w:val="5B5B66"/>
          <w:sz w:val="18"/>
          <w:szCs w:val="18"/>
        </w:rPr>
        <w:t xml:space="preserve">Prepared by Krystal7 Consultants. Reviewed 22 Sep 2026.</w:t>
      </w:r>
    </w:p>
    <w:p>
      <w:r>
        <w:t xml:space="preserve">This worksheet helps prepare a document review. The final filing and bank requirements depend on the investor and transaction.</w:t>
      </w:r>
    </w:p>
    <w:p>
      <w:r>
        <w:t xml:space="preserve">Separate public company records from private documents before booking legalisation. The Singapore Academy of Law, or SAL, treats these categories differently.</w:t>
      </w:r>
    </w:p>
    <w:tbl>
      <w:tblPr>
        <w:tblW w:w="9638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3084"/>
        <w:gridCol w:w="6554"/>
      </w:tblGrid>
      <w:tr>
        <w:trPr>
          <w:tblHeader/>
        </w:trPr>
        <w:tc>
          <w:tcPr>
            <w:tcW w:w="3084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Document group</w:t>
            </w:r>
          </w:p>
        </w:tc>
        <w:tc>
          <w:tcPr>
            <w:tcW w:w="6554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Preparation question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Company registration records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Is the record an original public document or a computer generated copy needing certification?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Constitution and resolution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Does a Singapore notary need to certify the document before SAL legalisation?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Signatory evidence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Do the board approval and identity records name the same authorised person?</w:t>
            </w:r>
          </w:p>
        </w:tc>
      </w:tr>
      <w:tr>
        <w:trPr>
          <w:cantSplit/>
        </w:trPr>
        <w:tc>
          <w:tcPr>
            <w:tcW w:w="3084" w:type="dxa"/>
          </w:tcPr>
          <w:p>
            <w:r>
              <w:rPr>
                <w:sz w:val="18"/>
                <w:szCs w:val="18"/>
              </w:rPr>
              <w:t xml:space="preserve">Ownership file</w:t>
            </w:r>
          </w:p>
        </w:tc>
        <w:tc>
          <w:tcPr>
            <w:tcW w:w="6554" w:type="dxa"/>
          </w:tcPr>
          <w:p>
            <w:r>
              <w:rPr>
                <w:sz w:val="18"/>
                <w:szCs w:val="18"/>
              </w:rPr>
              <w:t xml:space="preserve">Does the ownership chart explain any intermediate holding companies to the Indian bank?</w:t>
            </w:r>
          </w:p>
        </w:tc>
      </w:tr>
    </w:tbl>
    <w:p>
      <w:pPr>
        <w:spacing w:after="0"/>
      </w:pPr>
    </w:p>
    <w:p>
      <w:r>
        <w:t xml:space="preserve">SAL accepts eligible public documents directly. Private documents normally need notarial preparation first. Check the required version of an electronic company record before treating a downloaded file as ready for apostille.</w:t>
      </w:r>
    </w:p>
    <w:p>
      <w:r>
        <w:t xml:space="preserve">For example, the company record and a privately signed board resolution may need different preparation. Have the Indian filing professional approve both formats before signing or paying for certification.</w:t>
      </w:r>
    </w:p>
    <w:p>
      <w:r>
        <w:t xml:space="preserve">Source checked 22 Sep 2026: </w:t>
      </w:r>
      <w:hyperlink r:id="rId100" w:history="1">
        <w:r>
          <w:rPr>
            <w:rStyle w:val="Hyperlink"/>
          </w:rPr>
          <w:t xml:space="preserve">SAL legalisation guidance</w:t>
        </w:r>
      </w:hyperlink>
      <w:r>
        <w:t xml:space="preserve">.</w:t>
      </w:r>
    </w:p>
    <w:p>
      <w:pPr>
        <w:pStyle w:val="Heading1"/>
      </w:pPr>
      <w:r>
        <w:t xml:space="preserve">Working record</w:t>
      </w:r>
    </w:p>
    <w:tbl>
      <w:tblPr>
        <w:tblW w:w="9638" w:type="dxa"/>
        <w:tblBorders>
          <w:top w:val="single" w:sz="4" w:space="0" w:color="B8C2CC"/>
          <w:left w:val="single" w:sz="4" w:space="0" w:color="B8C2CC"/>
          <w:bottom w:val="single" w:sz="4" w:space="0" w:color="B8C2CC"/>
          <w:right w:val="single" w:sz="4" w:space="0" w:color="B8C2CC"/>
          <w:insideH w:val="single" w:sz="4" w:space="0" w:color="B8C2CC"/>
          <w:insideV w:val="single" w:sz="4" w:space="0" w:color="B8C2CC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</w:tblPr>
      <w:tblGrid>
        <w:gridCol w:w="2600"/>
        <w:gridCol w:w="1407"/>
        <w:gridCol w:w="1407"/>
        <w:gridCol w:w="1407"/>
        <w:gridCol w:w="1407"/>
        <w:gridCol w:w="1407"/>
      </w:tblGrid>
      <w:tr>
        <w:trPr>
          <w:tblHeader/>
        </w:trPr>
        <w:tc>
          <w:tcPr>
            <w:tcW w:w="2600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Issuing country or authority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Signing location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Required version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w="1407" w:type="dxa"/>
            <w:shd w:val="clear" w:color="auto" w:fill="011A6A"/>
          </w:tcPr>
          <w:p>
            <w:r>
              <w:rPr>
                <w:b/>
                <w:color w:val="FFFFFF"/>
                <w:sz w:val="18"/>
                <w:szCs w:val="18"/>
              </w:rPr>
              <w:t xml:space="preserve">Status</w:t>
            </w:r>
          </w:p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Investor identity or registration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Constitutional documents, if applicable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Investment approval and signatory authority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Ownership evidence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Director identity and address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Indian office evidence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  <w:tr>
        <w:trPr>
          <w:cantSplit/>
          <w:trHeight w:val="560" w:hRule="atLeast"/>
        </w:trPr>
        <w:tc>
          <w:tcPr>
            <w:tcW w:w="2600" w:type="dxa"/>
          </w:tcPr>
          <w:p>
            <w:r>
              <w:rPr>
                <w:b/>
                <w:sz w:val="18"/>
                <w:szCs w:val="18"/>
              </w:rPr>
              <w:t xml:space="preserve">Translation and certification</w:t>
            </w:r>
          </w:p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  <w:tc>
          <w:tcPr>
            <w:tcW w:w="1407" w:type="dxa"/>
            <w:shd w:val="clear" w:color="auto" w:fill="F6F1E7"/>
          </w:tcPr>
          <w:p/>
        </w:tc>
      </w:tr>
    </w:tbl>
    <w:p>
      <w:pPr>
        <w:spacing w:after="0"/>
      </w:pPr>
    </w:p>
    <w:p>
      <w:pPr>
        <w:pStyle w:val="Heading1"/>
      </w:pPr>
      <w:r>
        <w:t xml:space="preserve">Before ordering certification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1.	</w:t>
      </w:r>
      <w:r>
        <w:t xml:space="preserve">Confirm the proposed investor and ownership structure.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2.	</w:t>
      </w:r>
      <w:r>
        <w:t xml:space="preserve">Ask the filing professional and bank to approve the document list.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3.	</w:t>
      </w:r>
      <w:r>
        <w:t xml:space="preserve">Resolve differences in names, dates and signing authority.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4.	</w:t>
      </w:r>
      <w:r>
        <w:t xml:space="preserve">Confirm the accepted original, certified copy or electronic record.</w:t>
      </w:r>
    </w:p>
    <w:p>
      <w:pPr>
        <w:tabs>
          <w:tab w:val="left" w:pos="360"/>
        </w:tabs>
        <w:ind w:left="360" w:hanging="360"/>
      </w:pPr>
      <w:r>
        <w:rPr>
          <w:b/>
          <w:color w:val="E4220C"/>
        </w:rPr>
        <w:t xml:space="preserve">5.	</w:t>
      </w:r>
      <w:r>
        <w:t xml:space="preserve">Agree the submission and courier requirements.</w:t>
      </w:r>
    </w:p>
    <w:p>
      <w:hyperlink r:id="rId101" w:history="1">
        <w:r>
          <w:rPr>
            <w:rStyle w:val="Hyperlink"/>
          </w:rPr>
          <w:t xml:space="preserve">Read the Singapore guide</w:t>
        </w:r>
      </w:hyperlink>
      <w:r>
        <w:t xml:space="preserve">.</w:t>
      </w:r>
    </w:p>
    <w:p>
      <w:hyperlink r:id="rId102" w:history="1">
        <w:r>
          <w:rPr>
            <w:rStyle w:val="Hyperlink"/>
          </w:rPr>
          <w:t xml:space="preserve">Discuss foreign subsidiary registration</w:t>
        </w:r>
      </w:hyperlink>
      <w:r>
        <w:t xml:space="preserve">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5B5B66"/>
        <w:sz w:val="16"/>
        <w:szCs w:val="16"/>
      </w:rPr>
      <w:t xml:space="preserve">Krystal7 Consultants  |  krystal7.com  |  Planning worksheet, not legal advice</w:t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A1818"/>
        <w:sz w:val="21"/>
        <w:szCs w:val="21"/>
        <w:lang w:val="en-GB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  <w:pBdr>
        <w:bottom w:val="single" w:sz="12" w:space="6" w:color="E4220C"/>
      </w:pBdr>
    </w:pPr>
    <w:rPr>
      <w:b/>
      <w:color w:val="011A6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011A6A"/>
      <w:sz w:val="28"/>
      <w:szCs w:val="28"/>
    </w:rPr>
  </w:style>
  <w:style w:type="character" w:styleId="Hyperlink">
    <w:name w:val="Hyperlink"/>
    <w:rPr>
      <w:color w:val="011A6A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100" Type="http://schemas.openxmlformats.org/officeDocument/2006/relationships/hyperlink" Target="https://legalisation.sal.sg/LegalisationInfo" TargetMode="External"/><Relationship Id="rId101" Type="http://schemas.openxmlformats.org/officeDocument/2006/relationships/hyperlink" Target="https://krystal7.com/insights/register-company-in-india-from-singapore" TargetMode="External"/><Relationship Id="rId102" Type="http://schemas.openxmlformats.org/officeDocument/2006/relationships/hyperlink" Target="https://krystal7.com/services/foreign-subsidiary.htm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Singapore to India document planning checklist</dc:title>
  <dc:creator>Krystal7 Consultants</dc:creator>
  <cp:lastModifiedBy>Krystal7 Consultants</cp:lastModifiedBy>
  <dcterms:created xsi:type="dcterms:W3CDTF">2026-10-28T06:19:26Z</dcterms:created>
  <dcterms:modified xsi:type="dcterms:W3CDTF">2026-10-28T06:19:26Z</dcterms:modified>
</cp:coreProperties>
</file>