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Australia to India document planning checklist</w:t>
      </w:r>
    </w:p>
    <w:p>
      <w:r>
        <w:rPr>
          <w:color w:val="5B5B66"/>
          <w:sz w:val="18"/>
          <w:szCs w:val="18"/>
        </w:rPr>
        <w:t xml:space="preserve">Prepared by Krystal7 Consultants. Reviewed 22 Sep 2026.</w:t>
      </w:r>
    </w:p>
    <w:p>
      <w:r>
        <w:t xml:space="preserve">This worksheet helps prepare a document review. The final filing and bank requirements depend on the investor and transaction.</w:t>
      </w:r>
    </w:p>
    <w:p>
      <w:r>
        <w:t xml:space="preserve">Confirm the required Australian record and its certification format before booking a DFAT apostille. Australia and India are both parties to the Apostille Convention, so documents for India need an apostille, not legalisation. The Indian filing professional and bank may request different supporting evidence.</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3084"/>
        <w:gridCol w:w="6554"/>
      </w:tblGrid>
      <w:tr>
        <w:trPr>
          <w:tblHeader/>
        </w:trPr>
        <w:tc>
          <w:tcPr>
            <w:tcW w:w="3084" w:type="dxa"/>
            <w:shd w:val="clear" w:color="auto" w:fill="011A6A"/>
          </w:tcPr>
          <w:p>
            <w:r>
              <w:rPr>
                <w:b/>
                <w:color w:val="FFFFFF"/>
                <w:sz w:val="18"/>
                <w:szCs w:val="18"/>
              </w:rPr>
              <w:t xml:space="preserve">Document group</w:t>
            </w:r>
          </w:p>
        </w:tc>
        <w:tc>
          <w:tcPr>
            <w:tcW w:w="6554" w:type="dxa"/>
            <w:shd w:val="clear" w:color="auto" w:fill="011A6A"/>
          </w:tcPr>
          <w:p>
            <w:r>
              <w:rPr>
                <w:b/>
                <w:color w:val="FFFFFF"/>
                <w:sz w:val="18"/>
                <w:szCs w:val="18"/>
              </w:rPr>
              <w:t xml:space="preserve">Preparation question</w:t>
            </w:r>
          </w:p>
        </w:tc>
      </w:tr>
      <w:tr>
        <w:trPr>
          <w:cantSplit/>
        </w:trPr>
        <w:tc>
          <w:tcPr>
            <w:tcW w:w="3084" w:type="dxa"/>
          </w:tcPr>
          <w:p>
            <w:r>
              <w:rPr>
                <w:sz w:val="18"/>
                <w:szCs w:val="18"/>
              </w:rPr>
              <w:t xml:space="preserve">Corporate investor</w:t>
            </w:r>
          </w:p>
        </w:tc>
        <w:tc>
          <w:tcPr>
            <w:tcW w:w="6554" w:type="dxa"/>
          </w:tcPr>
          <w:p>
            <w:r>
              <w:rPr>
                <w:sz w:val="18"/>
                <w:szCs w:val="18"/>
              </w:rPr>
              <w:t xml:space="preserve">Which registration record, constitution and investment approval identify the Australian parent?</w:t>
            </w:r>
          </w:p>
        </w:tc>
      </w:tr>
      <w:tr>
        <w:trPr>
          <w:cantSplit/>
        </w:trPr>
        <w:tc>
          <w:tcPr>
            <w:tcW w:w="3084" w:type="dxa"/>
          </w:tcPr>
          <w:p>
            <w:r>
              <w:rPr>
                <w:sz w:val="18"/>
                <w:szCs w:val="18"/>
              </w:rPr>
              <w:t xml:space="preserve">Public document</w:t>
            </w:r>
          </w:p>
        </w:tc>
        <w:tc>
          <w:tcPr>
            <w:tcW w:w="6554" w:type="dxa"/>
          </w:tcPr>
          <w:p>
            <w:r>
              <w:rPr>
                <w:sz w:val="18"/>
                <w:szCs w:val="18"/>
              </w:rPr>
              <w:t xml:space="preserve">Is the original eligible for a direct DFAT apostille?</w:t>
            </w:r>
          </w:p>
        </w:tc>
      </w:tr>
      <w:tr>
        <w:trPr>
          <w:cantSplit/>
        </w:trPr>
        <w:tc>
          <w:tcPr>
            <w:tcW w:w="3084" w:type="dxa"/>
          </w:tcPr>
          <w:p>
            <w:r>
              <w:rPr>
                <w:sz w:val="18"/>
                <w:szCs w:val="18"/>
              </w:rPr>
              <w:t xml:space="preserve">Private document or copy</w:t>
            </w:r>
          </w:p>
        </w:tc>
        <w:tc>
          <w:tcPr>
            <w:tcW w:w="6554" w:type="dxa"/>
          </w:tcPr>
          <w:p>
            <w:r>
              <w:rPr>
                <w:sz w:val="18"/>
                <w:szCs w:val="18"/>
              </w:rPr>
              <w:t xml:space="preserve">Does it need an Australian Notary Public before DFAT can apostille it?</w:t>
            </w:r>
          </w:p>
        </w:tc>
      </w:tr>
      <w:tr>
        <w:trPr>
          <w:cantSplit/>
        </w:trPr>
        <w:tc>
          <w:tcPr>
            <w:tcW w:w="3084" w:type="dxa"/>
          </w:tcPr>
          <w:p>
            <w:r>
              <w:rPr>
                <w:sz w:val="18"/>
                <w:szCs w:val="18"/>
              </w:rPr>
              <w:t xml:space="preserve">Director evidence</w:t>
            </w:r>
          </w:p>
        </w:tc>
        <w:tc>
          <w:tcPr>
            <w:tcW w:w="6554" w:type="dxa"/>
          </w:tcPr>
          <w:p>
            <w:r>
              <w:rPr>
                <w:sz w:val="18"/>
                <w:szCs w:val="18"/>
              </w:rPr>
              <w:t xml:space="preserve">Do the passport, residential address and signing details match the Indian application?</w:t>
            </w:r>
          </w:p>
        </w:tc>
      </w:tr>
    </w:tbl>
    <w:p>
      <w:pPr>
        <w:spacing w:after="0"/>
      </w:pPr>
    </w:p>
    <w:p>
      <w:r>
        <w:t xml:space="preserve">DFAT apostilles eligible Australian public documents and copies notarised by Australian Notary Publics. It asks applicants to confirm the overseas recipient's requirements first. Check the accepted form before treating an ordinary certified copy as sufficient.</w:t>
      </w:r>
    </w:p>
    <w:p>
      <w:r>
        <w:t xml:space="preserve">For example, a registration record and a privately signed investment resolution should be reviewed separately. Ask which originals must travel to India after the electronic filing set is approved.</w:t>
      </w:r>
    </w:p>
    <w:p>
      <w:r>
        <w:t xml:space="preserve">Source checked 22 Sep 2026: </w:t>
      </w:r>
      <w:hyperlink r:id="rId100" w:history="1">
        <w:r>
          <w:rPr>
            <w:rStyle w:val="Hyperlink"/>
          </w:rPr>
          <w:t xml:space="preserve">DFAT notarial services in Australia</w:t>
        </w:r>
      </w:hyperlink>
      <w:r>
        <w:t xml:space="preserve">.</w:t>
      </w:r>
    </w:p>
    <w:p>
      <w:pPr>
        <w:pStyle w:val="Heading1"/>
      </w:pPr>
      <w:r>
        <w:t xml:space="preserve">Working record</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2600"/>
        <w:gridCol w:w="1407"/>
        <w:gridCol w:w="1407"/>
        <w:gridCol w:w="1407"/>
        <w:gridCol w:w="1407"/>
        <w:gridCol w:w="1407"/>
      </w:tblGrid>
      <w:tr>
        <w:trPr>
          <w:tblHeader/>
        </w:trPr>
        <w:tc>
          <w:tcPr>
            <w:tcW w:w="2600" w:type="dxa"/>
            <w:shd w:val="clear" w:color="auto" w:fill="011A6A"/>
          </w:tcPr>
          <w:p>
            <w:r>
              <w:rPr>
                <w:b/>
                <w:color w:val="FFFFFF"/>
                <w:sz w:val="18"/>
                <w:szCs w:val="18"/>
              </w:rPr>
              <w:t xml:space="preserve">Item</w:t>
            </w:r>
          </w:p>
        </w:tc>
        <w:tc>
          <w:tcPr>
            <w:tcW w:w="1407" w:type="dxa"/>
            <w:shd w:val="clear" w:color="auto" w:fill="011A6A"/>
          </w:tcPr>
          <w:p>
            <w:r>
              <w:rPr>
                <w:b/>
                <w:color w:val="FFFFFF"/>
                <w:sz w:val="18"/>
                <w:szCs w:val="18"/>
              </w:rPr>
              <w:t xml:space="preserve">Issuing country or authority</w:t>
            </w:r>
          </w:p>
        </w:tc>
        <w:tc>
          <w:tcPr>
            <w:tcW w:w="1407" w:type="dxa"/>
            <w:shd w:val="clear" w:color="auto" w:fill="011A6A"/>
          </w:tcPr>
          <w:p>
            <w:r>
              <w:rPr>
                <w:b/>
                <w:color w:val="FFFFFF"/>
                <w:sz w:val="18"/>
                <w:szCs w:val="18"/>
              </w:rPr>
              <w:t xml:space="preserve">Signing location</w:t>
            </w:r>
          </w:p>
        </w:tc>
        <w:tc>
          <w:tcPr>
            <w:tcW w:w="1407" w:type="dxa"/>
            <w:shd w:val="clear" w:color="auto" w:fill="011A6A"/>
          </w:tcPr>
          <w:p>
            <w:r>
              <w:rPr>
                <w:b/>
                <w:color w:val="FFFFFF"/>
                <w:sz w:val="18"/>
                <w:szCs w:val="18"/>
              </w:rPr>
              <w:t xml:space="preserve">Required version</w:t>
            </w:r>
          </w:p>
        </w:tc>
        <w:tc>
          <w:tcPr>
            <w:tcW w:w="1407" w:type="dxa"/>
            <w:shd w:val="clear" w:color="auto" w:fill="011A6A"/>
          </w:tcPr>
          <w:p>
            <w:r>
              <w:rPr>
                <w:b/>
                <w:color w:val="FFFFFF"/>
                <w:sz w:val="18"/>
                <w:szCs w:val="18"/>
              </w:rPr>
              <w:t xml:space="preserve">Owner</w:t>
            </w:r>
          </w:p>
        </w:tc>
        <w:tc>
          <w:tcPr>
            <w:tcW w:w="1407" w:type="dxa"/>
            <w:shd w:val="clear" w:color="auto" w:fill="011A6A"/>
          </w:tcPr>
          <w:p>
            <w:r>
              <w:rPr>
                <w:b/>
                <w:color w:val="FFFFFF"/>
                <w:sz w:val="18"/>
                <w:szCs w:val="18"/>
              </w:rPr>
              <w:t xml:space="preserve">Status</w:t>
            </w:r>
          </w:p>
        </w:tc>
      </w:tr>
      <w:tr>
        <w:trPr>
          <w:cantSplit/>
          <w:trHeight w:val="560" w:hRule="atLeast"/>
        </w:trPr>
        <w:tc>
          <w:tcPr>
            <w:tcW w:w="2600" w:type="dxa"/>
          </w:tcPr>
          <w:p>
            <w:r>
              <w:rPr>
                <w:b/>
                <w:sz w:val="18"/>
                <w:szCs w:val="18"/>
              </w:rPr>
              <w:t xml:space="preserve">Investor identity or registration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Constitutional documents, if applicable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Investment approval and signatory authority</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Ownership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Director identity and address</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Indian office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Translation and certification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bl>
    <w:p>
      <w:pPr>
        <w:spacing w:after="0"/>
      </w:pPr>
    </w:p>
    <w:p>
      <w:pPr>
        <w:pStyle w:val="Heading1"/>
      </w:pPr>
      <w:r>
        <w:t xml:space="preserve">Before ordering certification</w:t>
      </w:r>
    </w:p>
    <w:p>
      <w:pPr>
        <w:tabs>
          <w:tab w:val="left" w:pos="360"/>
        </w:tabs>
        <w:ind w:left="360" w:hanging="360"/>
      </w:pPr>
      <w:r>
        <w:rPr>
          <w:b/>
          <w:color w:val="E4220C"/>
        </w:rPr>
        <w:t xml:space="preserve">1.	</w:t>
      </w:r>
      <w:r>
        <w:t xml:space="preserve">Confirm the proposed investor and ownership structure.</w:t>
      </w:r>
    </w:p>
    <w:p>
      <w:pPr>
        <w:tabs>
          <w:tab w:val="left" w:pos="360"/>
        </w:tabs>
        <w:ind w:left="360" w:hanging="360"/>
      </w:pPr>
      <w:r>
        <w:rPr>
          <w:b/>
          <w:color w:val="E4220C"/>
        </w:rPr>
        <w:t xml:space="preserve">2.	</w:t>
      </w:r>
      <w:r>
        <w:t xml:space="preserve">Ask the filing professional and bank to approve the document list.</w:t>
      </w:r>
    </w:p>
    <w:p>
      <w:pPr>
        <w:tabs>
          <w:tab w:val="left" w:pos="360"/>
        </w:tabs>
        <w:ind w:left="360" w:hanging="360"/>
      </w:pPr>
      <w:r>
        <w:rPr>
          <w:b/>
          <w:color w:val="E4220C"/>
        </w:rPr>
        <w:t xml:space="preserve">3.	</w:t>
      </w:r>
      <w:r>
        <w:t xml:space="preserve">Resolve differences in names, dates and signing authority.</w:t>
      </w:r>
    </w:p>
    <w:p>
      <w:pPr>
        <w:tabs>
          <w:tab w:val="left" w:pos="360"/>
        </w:tabs>
        <w:ind w:left="360" w:hanging="360"/>
      </w:pPr>
      <w:r>
        <w:rPr>
          <w:b/>
          <w:color w:val="E4220C"/>
        </w:rPr>
        <w:t xml:space="preserve">4.	</w:t>
      </w:r>
      <w:r>
        <w:t xml:space="preserve">Confirm the accepted original, certified copy or electronic record.</w:t>
      </w:r>
    </w:p>
    <w:p>
      <w:pPr>
        <w:tabs>
          <w:tab w:val="left" w:pos="360"/>
        </w:tabs>
        <w:ind w:left="360" w:hanging="360"/>
      </w:pPr>
      <w:r>
        <w:rPr>
          <w:b/>
          <w:color w:val="E4220C"/>
        </w:rPr>
        <w:t xml:space="preserve">5.	</w:t>
      </w:r>
      <w:r>
        <w:t xml:space="preserve">Agree the submission and courier requirements.</w:t>
      </w:r>
    </w:p>
    <w:p>
      <w:hyperlink r:id="rId101" w:history="1">
        <w:r>
          <w:rPr>
            <w:rStyle w:val="Hyperlink"/>
          </w:rPr>
          <w:t xml:space="preserve">Read the Australia guide</w:t>
        </w:r>
      </w:hyperlink>
      <w:r>
        <w:t xml:space="preserve">.</w:t>
      </w:r>
    </w:p>
    <w:p>
      <w:hyperlink r:id="rId102" w:history="1">
        <w:r>
          <w:rPr>
            <w:rStyle w:val="Hyperlink"/>
          </w:rPr>
          <w:t xml:space="preserve">Discuss foreign subsidiary registration</w:t>
        </w:r>
      </w:hyperlink>
      <w:r>
        <w:t xml:space="preserv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color w:val="5B5B66"/>
        <w:sz w:val="16"/>
        <w:szCs w:val="16"/>
      </w:rPr>
      <w:t xml:space="preserve">Krystal7 Consultants  |  krystal7.com  |  Planning worksheet, not legal advice</w:t>
    </w:r>
  </w:p>
</w:ftr>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A1818"/>
        <w:sz w:val="21"/>
        <w:szCs w:val="21"/>
        <w:lang w:val="en-GB"/>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120"/>
      <w:pBdr>
        <w:bottom w:val="single" w:sz="12" w:space="6" w:color="E4220C"/>
      </w:pBdr>
    </w:pPr>
    <w:rPr>
      <w:b/>
      <w:color w:val="011A6A"/>
      <w:sz w:val="40"/>
      <w:szCs w:val="40"/>
    </w:rPr>
  </w:style>
  <w:style w:type="paragraph" w:styleId="Heading1">
    <w:name w:val="heading 1"/>
    <w:basedOn w:val="Normal"/>
    <w:next w:val="Normal"/>
    <w:qFormat/>
    <w:pPr>
      <w:keepNext/>
      <w:spacing w:before="320" w:after="120"/>
      <w:outlineLvl w:val="0"/>
    </w:pPr>
    <w:rPr>
      <w:b/>
      <w:color w:val="011A6A"/>
      <w:sz w:val="28"/>
      <w:szCs w:val="28"/>
    </w:rPr>
  </w:style>
  <w:style w:type="character" w:styleId="Hyperlink">
    <w:name w:val="Hyperlink"/>
    <w:rPr>
      <w:color w:val="011A6A"/>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100" Type="http://schemas.openxmlformats.org/officeDocument/2006/relationships/hyperlink" Target="https://www.smartraveller.gov.au/our-role/notarial-services/notarial-services-australia" TargetMode="External"/><Relationship Id="rId101" Type="http://schemas.openxmlformats.org/officeDocument/2006/relationships/hyperlink" Target="https://krystal7.com/insights/company-registration-in-india-from-australia" TargetMode="External"/><Relationship Id="rId102" Type="http://schemas.openxmlformats.org/officeDocument/2006/relationships/hyperlink" Target="https://krystal7.com/services/foreign-subsidiary.html"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Australia to India document planning checklist</dc:title>
  <dc:creator>Krystal7 Consultants</dc:creator>
  <cp:lastModifiedBy>Krystal7 Consultants</cp:lastModifiedBy>
  <dcterms:created xsi:type="dcterms:W3CDTF">2026-10-28T06:25:32Z</dcterms:created>
  <dcterms:modified xsi:type="dcterms:W3CDTF">2026-10-28T06:25:32Z</dcterms:modified>
</cp:coreProperties>
</file>